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重庆大德公益基金会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财产清查制度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第一章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第一条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资产清查是通过实地盘点、核对、查询，确定各种资产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物资、货币资金、往来款项的实际结存数。并与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账</w:t>
      </w:r>
      <w:r>
        <w:rPr>
          <w:rFonts w:hint="eastAsia" w:ascii="仿宋_GB2312" w:hAnsi="仿宋_GB2312" w:eastAsia="仿宋_GB2312" w:cs="仿宋_GB2312"/>
          <w:sz w:val="30"/>
          <w:szCs w:val="30"/>
        </w:rPr>
        <w:t>存数核对，以保证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账</w:t>
      </w:r>
      <w:r>
        <w:rPr>
          <w:rFonts w:hint="eastAsia" w:ascii="仿宋_GB2312" w:hAnsi="仿宋_GB2312" w:eastAsia="仿宋_GB2312" w:cs="仿宋_GB2312"/>
          <w:sz w:val="30"/>
          <w:szCs w:val="30"/>
        </w:rPr>
        <w:t>实相符。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第二条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清查范围包括：固定资产（包括租入和租出的）、库存现金、银行存款、有价证券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债权、债务等各种往来结算款项。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第二章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资产清查的方法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第三条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查明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0"/>
          <w:szCs w:val="30"/>
        </w:rPr>
        <w:t>种实物的名称、规格，要以资产目录上所规定的名称和规格为准，不得任意变更。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第四条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对于固定资产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等物资要</w:t>
      </w:r>
      <w:r>
        <w:rPr>
          <w:rFonts w:hint="eastAsia" w:ascii="仿宋_GB2312" w:hAnsi="仿宋_GB2312" w:eastAsia="仿宋_GB2312" w:cs="仿宋_GB2312"/>
          <w:sz w:val="30"/>
          <w:szCs w:val="30"/>
        </w:rPr>
        <w:t>逐一盘点确定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其</w:t>
      </w:r>
      <w:r>
        <w:rPr>
          <w:rFonts w:hint="eastAsia" w:ascii="仿宋_GB2312" w:hAnsi="仿宋_GB2312" w:eastAsia="仿宋_GB2312" w:cs="仿宋_GB2312"/>
          <w:sz w:val="30"/>
          <w:szCs w:val="30"/>
        </w:rPr>
        <w:t>实物数量。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第五条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对于无法逐一清点的大宗散置物品，如煤炭、矿砂等，可通过技术测定来确定其数量。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第六条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对于各种实物的盘点要填制“盘存单”；填明各种物资的名称、规格、数量、单价、金额；盘存单上要有盘点工作人员和实物保管人共同签章。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第七条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会计根据盘存单上所记录的各种物资的盘点数量，及时与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账</w:t>
      </w:r>
      <w:r>
        <w:rPr>
          <w:rFonts w:hint="eastAsia" w:ascii="仿宋_GB2312" w:hAnsi="仿宋_GB2312" w:eastAsia="仿宋_GB2312" w:cs="仿宋_GB2312"/>
          <w:sz w:val="30"/>
          <w:szCs w:val="30"/>
        </w:rPr>
        <w:t>面上的结存数量进行核对，并编制“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账</w:t>
      </w:r>
      <w:r>
        <w:rPr>
          <w:rFonts w:hint="eastAsia" w:ascii="仿宋_GB2312" w:hAnsi="仿宋_GB2312" w:eastAsia="仿宋_GB2312" w:cs="仿宋_GB2312"/>
          <w:sz w:val="30"/>
          <w:szCs w:val="30"/>
        </w:rPr>
        <w:t>存实存对比表”，作为调整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账</w:t>
      </w:r>
      <w:r>
        <w:rPr>
          <w:rFonts w:hint="eastAsia" w:ascii="仿宋_GB2312" w:hAnsi="仿宋_GB2312" w:eastAsia="仿宋_GB2312" w:cs="仿宋_GB2312"/>
          <w:sz w:val="30"/>
          <w:szCs w:val="30"/>
        </w:rPr>
        <w:t>簿记录的原始依据，分析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账</w:t>
      </w:r>
      <w:r>
        <w:rPr>
          <w:rFonts w:hint="eastAsia" w:ascii="仿宋_GB2312" w:hAnsi="仿宋_GB2312" w:eastAsia="仿宋_GB2312" w:cs="仿宋_GB2312"/>
          <w:sz w:val="30"/>
          <w:szCs w:val="30"/>
        </w:rPr>
        <w:t>实存在差异的原因，查明责任。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第三章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资产清查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对资产清查中存在的问题，要按照国家有关政策、法规和制度认真处理。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第八条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在资产清查中确定的资产物资的盘盈、盘亏，应进一步查明原因，明确责任，分别处理。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第九条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属于定额之内或自然原因引起的盘盈、盘亏，可根据规定手续及时转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账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第十条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属于管理不善造成的损失，报送有关部门依法处理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第十一条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对清查中发现的不需用的固定资产报经审批后，应及时调出、出售或作其他处理。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第四章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第十二条  本制度2017年07月10日理事会表决通过。通过之日起施行，由秘书处负责解释并修订。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B2EE2"/>
    <w:rsid w:val="13A27BD6"/>
    <w:rsid w:val="3F4C40C6"/>
    <w:rsid w:val="5AA41F4F"/>
    <w:rsid w:val="626F2CDE"/>
    <w:rsid w:val="6D4B2E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2017-07-12T08:46:00Z</dcterms:created>
  <dc:creator>KDAdministrator</dc:creator>
  <cp:lastModifiedBy>KDAdministrator</cp:lastModifiedBy>
  <dcterms:modified xsi:type="dcterms:W3CDTF">2017-07-14T06:45:22Z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