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Style w:val="3"/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</w:pPr>
      <w:r>
        <w:rPr>
          <w:rStyle w:val="3"/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  <w:lang w:eastAsia="zh-CN"/>
        </w:rPr>
        <w:t>重庆大德公益</w:t>
      </w:r>
      <w:r>
        <w:rPr>
          <w:rStyle w:val="3"/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基金会</w:t>
      </w:r>
    </w:p>
    <w:p>
      <w:pPr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</w:rPr>
      </w:pPr>
      <w:r>
        <w:rPr>
          <w:rStyle w:val="3"/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</w:rPr>
        <w:t>资产管理制度</w:t>
      </w:r>
    </w:p>
    <w:p>
      <w:pPr>
        <w:snapToGrid w:val="0"/>
        <w:spacing w:line="360" w:lineRule="auto"/>
        <w:jc w:val="center"/>
        <w:rPr>
          <w:rStyle w:val="3"/>
          <w:rFonts w:hint="eastAsia" w:ascii="仿宋_GB2312" w:hAnsi="仿宋_GB2312" w:eastAsia="仿宋_GB2312" w:cs="仿宋_GB2312"/>
          <w:b/>
          <w:bCs w:val="0"/>
          <w:color w:val="000000"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第一章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总 则</w:t>
      </w:r>
    </w:p>
    <w:p>
      <w:pPr>
        <w:snapToGrid w:val="0"/>
        <w:spacing w:line="360" w:lineRule="auto"/>
        <w:ind w:firstLine="602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第一条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为了规范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基金会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投资和资产处置行为，根据《中华人民共和国公益事业捐赠法》、《基金会管理条例》和《民间非营利组织会计制度》等法律、法规和规章及基金会章程制定本制度。</w:t>
      </w:r>
    </w:p>
    <w:p>
      <w:pPr>
        <w:snapToGrid w:val="0"/>
        <w:spacing w:line="360" w:lineRule="auto"/>
        <w:ind w:firstLine="602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第二条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本制度所称资产指投资资产和固定资产两类。投资资产是指本基金会用于短期投资或长期投资形成的资产，及其因此而形成的资产；固定资产是为行政管理、提供服务、生产商品或者出租目的而持有的，预计使用年限超过1年，单位价值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2000元以上的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有形资产。</w:t>
      </w:r>
    </w:p>
    <w:p>
      <w:pPr>
        <w:snapToGrid w:val="0"/>
        <w:spacing w:line="360" w:lineRule="auto"/>
        <w:ind w:firstLine="602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第三条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本基金会资产管理的基本原则是：合法、谨慎、安全、有效。</w:t>
      </w:r>
    </w:p>
    <w:p>
      <w:pPr>
        <w:snapToGrid w:val="0"/>
        <w:spacing w:line="360" w:lineRule="auto"/>
        <w:ind w:firstLine="602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第四条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本基金会按照《民间非营利组织会计制度》对资产进行会计核算和信息披露。</w:t>
      </w:r>
    </w:p>
    <w:p>
      <w:pPr>
        <w:snapToGrid w:val="0"/>
        <w:spacing w:line="360" w:lineRule="auto"/>
        <w:jc w:val="center"/>
        <w:rPr>
          <w:rStyle w:val="3"/>
          <w:rFonts w:hint="eastAsia" w:ascii="仿宋_GB2312" w:hAnsi="仿宋_GB2312" w:eastAsia="仿宋_GB2312" w:cs="仿宋_GB2312"/>
          <w:b w:val="0"/>
          <w:color w:val="000000"/>
          <w:sz w:val="30"/>
          <w:szCs w:val="30"/>
        </w:rPr>
      </w:pPr>
    </w:p>
    <w:p>
      <w:pPr>
        <w:snapToGrid w:val="0"/>
        <w:spacing w:line="360" w:lineRule="auto"/>
        <w:jc w:val="center"/>
        <w:rPr>
          <w:rStyle w:val="3"/>
          <w:rFonts w:hint="eastAsia" w:ascii="仿宋_GB2312" w:hAnsi="仿宋_GB2312" w:eastAsia="仿宋_GB2312" w:cs="仿宋_GB2312"/>
          <w:b/>
          <w:bCs w:val="0"/>
          <w:color w:val="000000"/>
          <w:sz w:val="30"/>
          <w:szCs w:val="30"/>
        </w:rPr>
      </w:pPr>
      <w:r>
        <w:rPr>
          <w:rStyle w:val="3"/>
          <w:rFonts w:hint="eastAsia" w:ascii="仿宋_GB2312" w:hAnsi="仿宋_GB2312" w:eastAsia="仿宋_GB2312" w:cs="仿宋_GB2312"/>
          <w:b/>
          <w:bCs w:val="0"/>
          <w:color w:val="000000"/>
          <w:sz w:val="30"/>
          <w:szCs w:val="30"/>
        </w:rPr>
        <w:t>第二章</w:t>
      </w:r>
      <w:r>
        <w:rPr>
          <w:rStyle w:val="3"/>
          <w:rFonts w:hint="eastAsia" w:ascii="仿宋_GB2312" w:hAnsi="仿宋_GB2312" w:eastAsia="仿宋_GB2312" w:cs="仿宋_GB2312"/>
          <w:b/>
          <w:bCs w:val="0"/>
          <w:color w:val="000000"/>
          <w:sz w:val="30"/>
          <w:szCs w:val="30"/>
          <w:lang w:val="en-US" w:eastAsia="zh-CN"/>
        </w:rPr>
        <w:t xml:space="preserve">  </w:t>
      </w:r>
      <w:r>
        <w:rPr>
          <w:rStyle w:val="3"/>
          <w:rFonts w:hint="eastAsia" w:ascii="仿宋_GB2312" w:hAnsi="仿宋_GB2312" w:eastAsia="仿宋_GB2312" w:cs="仿宋_GB2312"/>
          <w:b/>
          <w:bCs w:val="0"/>
          <w:color w:val="000000"/>
          <w:sz w:val="30"/>
          <w:szCs w:val="30"/>
        </w:rPr>
        <w:t>资产管理</w:t>
      </w:r>
    </w:p>
    <w:p>
      <w:pPr>
        <w:snapToGrid w:val="0"/>
        <w:spacing w:line="360" w:lineRule="auto"/>
        <w:ind w:firstLine="602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第五条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基金会理事会对资产管理履行决策职责；办公室（或秘书处）对资产履行管理职责。</w:t>
      </w:r>
    </w:p>
    <w:p>
      <w:pPr>
        <w:snapToGrid w:val="0"/>
        <w:spacing w:line="360" w:lineRule="auto"/>
        <w:ind w:firstLine="602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第六条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基金会理事会对资产管理履行以下决策职责：</w:t>
      </w:r>
    </w:p>
    <w:p>
      <w:pPr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（一）制定资产管理的具体规定；</w:t>
      </w:r>
    </w:p>
    <w:p>
      <w:pPr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（二）决定重大投资活动； </w:t>
      </w:r>
    </w:p>
    <w:p>
      <w:pPr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）检查、监督办公室（或秘书处）的投资管理和资产处置工作；</w:t>
      </w:r>
    </w:p>
    <w:p>
      <w:pPr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）其它有关资产管理的重大事项。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　</w:t>
      </w:r>
    </w:p>
    <w:p>
      <w:pPr>
        <w:snapToGrid w:val="0"/>
        <w:spacing w:line="360" w:lineRule="auto"/>
        <w:ind w:firstLine="602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第七条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办公室（或秘书处）对理事会负责，对资产履行管理职责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。</w:t>
      </w:r>
    </w:p>
    <w:p>
      <w:pPr>
        <w:snapToGrid w:val="0"/>
        <w:spacing w:line="360" w:lineRule="auto"/>
        <w:ind w:firstLine="602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第八条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理事遇有个人利益与本基金会资产利益关联时，不得参与相关事宜的决策；基金会理事、监事和及其近亲属不得与本基金会有任何资产交易行为。</w:t>
      </w:r>
    </w:p>
    <w:p>
      <w:pPr>
        <w:snapToGrid w:val="0"/>
        <w:spacing w:line="360" w:lineRule="auto"/>
        <w:jc w:val="center"/>
        <w:rPr>
          <w:rStyle w:val="3"/>
          <w:rFonts w:hint="eastAsia" w:ascii="仿宋_GB2312" w:hAnsi="仿宋_GB2312" w:eastAsia="仿宋_GB2312" w:cs="仿宋_GB2312"/>
          <w:b w:val="0"/>
          <w:color w:val="000000"/>
          <w:sz w:val="30"/>
          <w:szCs w:val="30"/>
        </w:rPr>
      </w:pPr>
    </w:p>
    <w:p>
      <w:pPr>
        <w:snapToGrid w:val="0"/>
        <w:spacing w:line="360" w:lineRule="auto"/>
        <w:jc w:val="center"/>
        <w:rPr>
          <w:rStyle w:val="3"/>
          <w:rFonts w:hint="eastAsia" w:ascii="仿宋_GB2312" w:hAnsi="仿宋_GB2312" w:eastAsia="仿宋_GB2312" w:cs="仿宋_GB2312"/>
          <w:b/>
          <w:bCs w:val="0"/>
          <w:color w:val="000000"/>
          <w:sz w:val="30"/>
          <w:szCs w:val="30"/>
        </w:rPr>
      </w:pPr>
      <w:r>
        <w:rPr>
          <w:rStyle w:val="3"/>
          <w:rFonts w:hint="eastAsia" w:ascii="仿宋_GB2312" w:hAnsi="仿宋_GB2312" w:eastAsia="仿宋_GB2312" w:cs="仿宋_GB2312"/>
          <w:b/>
          <w:bCs w:val="0"/>
          <w:color w:val="000000"/>
          <w:sz w:val="30"/>
          <w:szCs w:val="30"/>
        </w:rPr>
        <w:t>第四章</w:t>
      </w:r>
      <w:r>
        <w:rPr>
          <w:rStyle w:val="3"/>
          <w:rFonts w:hint="eastAsia" w:ascii="仿宋_GB2312" w:hAnsi="仿宋_GB2312" w:eastAsia="仿宋_GB2312" w:cs="仿宋_GB2312"/>
          <w:b/>
          <w:bCs w:val="0"/>
          <w:color w:val="000000"/>
          <w:sz w:val="30"/>
          <w:szCs w:val="30"/>
          <w:lang w:val="en-US" w:eastAsia="zh-CN"/>
        </w:rPr>
        <w:t xml:space="preserve">  </w:t>
      </w:r>
      <w:r>
        <w:rPr>
          <w:rStyle w:val="3"/>
          <w:rFonts w:hint="eastAsia" w:ascii="仿宋_GB2312" w:hAnsi="仿宋_GB2312" w:eastAsia="仿宋_GB2312" w:cs="仿宋_GB2312"/>
          <w:b/>
          <w:bCs w:val="0"/>
          <w:color w:val="000000"/>
          <w:sz w:val="30"/>
          <w:szCs w:val="30"/>
        </w:rPr>
        <w:t>管理责任</w:t>
      </w:r>
    </w:p>
    <w:p>
      <w:pPr>
        <w:snapToGrid w:val="0"/>
        <w:spacing w:line="360" w:lineRule="auto"/>
        <w:ind w:firstLine="602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所有资产管理以及处置方案应报理事会备案。</w:t>
      </w:r>
    </w:p>
    <w:p>
      <w:pPr>
        <w:snapToGrid w:val="0"/>
        <w:spacing w:line="360" w:lineRule="auto"/>
        <w:ind w:firstLine="602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第十条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本制度规定由理事会审批的事项，履行基金会章程规定的决策程序。</w:t>
      </w:r>
    </w:p>
    <w:p>
      <w:pPr>
        <w:snapToGrid w:val="0"/>
        <w:spacing w:line="360" w:lineRule="auto"/>
        <w:jc w:val="center"/>
        <w:rPr>
          <w:rStyle w:val="3"/>
          <w:rFonts w:hint="eastAsia" w:ascii="仿宋_GB2312" w:hAnsi="仿宋_GB2312" w:eastAsia="仿宋_GB2312" w:cs="仿宋_GB2312"/>
          <w:b/>
          <w:bCs w:val="0"/>
          <w:color w:val="000000"/>
          <w:sz w:val="30"/>
          <w:szCs w:val="30"/>
        </w:rPr>
      </w:pPr>
    </w:p>
    <w:p>
      <w:pPr>
        <w:snapToGrid w:val="0"/>
        <w:spacing w:line="360" w:lineRule="auto"/>
        <w:jc w:val="center"/>
        <w:rPr>
          <w:rStyle w:val="3"/>
          <w:rFonts w:hint="eastAsia" w:ascii="仿宋_GB2312" w:hAnsi="仿宋_GB2312" w:eastAsia="仿宋_GB2312" w:cs="仿宋_GB2312"/>
          <w:b w:val="0"/>
          <w:color w:val="000000"/>
          <w:sz w:val="30"/>
          <w:szCs w:val="30"/>
        </w:rPr>
      </w:pPr>
      <w:r>
        <w:rPr>
          <w:rStyle w:val="3"/>
          <w:rFonts w:hint="eastAsia" w:ascii="仿宋_GB2312" w:hAnsi="仿宋_GB2312" w:eastAsia="仿宋_GB2312" w:cs="仿宋_GB2312"/>
          <w:b/>
          <w:bCs w:val="0"/>
          <w:color w:val="000000"/>
          <w:sz w:val="30"/>
          <w:szCs w:val="30"/>
        </w:rPr>
        <w:t>第五章</w:t>
      </w:r>
      <w:r>
        <w:rPr>
          <w:rStyle w:val="3"/>
          <w:rFonts w:hint="eastAsia" w:ascii="仿宋_GB2312" w:hAnsi="仿宋_GB2312" w:eastAsia="仿宋_GB2312" w:cs="仿宋_GB2312"/>
          <w:b/>
          <w:bCs w:val="0"/>
          <w:color w:val="000000"/>
          <w:sz w:val="30"/>
          <w:szCs w:val="30"/>
          <w:lang w:val="en-US" w:eastAsia="zh-CN"/>
        </w:rPr>
        <w:t xml:space="preserve">  </w:t>
      </w:r>
      <w:r>
        <w:rPr>
          <w:rStyle w:val="3"/>
          <w:rFonts w:hint="eastAsia" w:ascii="仿宋_GB2312" w:hAnsi="仿宋_GB2312" w:eastAsia="仿宋_GB2312" w:cs="仿宋_GB2312"/>
          <w:b/>
          <w:bCs w:val="0"/>
          <w:color w:val="000000"/>
          <w:sz w:val="30"/>
          <w:szCs w:val="30"/>
        </w:rPr>
        <w:t>附 则</w:t>
      </w:r>
    </w:p>
    <w:p>
      <w:pPr>
        <w:snapToGrid w:val="0"/>
        <w:spacing w:line="360" w:lineRule="auto"/>
        <w:ind w:firstLine="6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本制度由基金会理事会制订，本制度的解释权和修改权属于理事会。 </w:t>
      </w:r>
    </w:p>
    <w:p>
      <w:pPr>
        <w:snapToGrid w:val="0"/>
        <w:spacing w:line="360" w:lineRule="auto"/>
        <w:ind w:firstLine="6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lang w:eastAsia="zh-CN"/>
        </w:rPr>
        <w:t>十二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本制度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经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2017年07月10日表决通过，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通过之日起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施行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07E84"/>
    <w:rsid w:val="306D285E"/>
    <w:rsid w:val="6B007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2017-08-09T08:15:00Z</dcterms:created>
  <dc:creator>KDAdministrator</dc:creator>
  <cp:lastModifiedBy>KDAdministrator</cp:lastModifiedBy>
  <dcterms:modified xsi:type="dcterms:W3CDTF">2017-08-12T10:10:38Z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