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3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</w:pPr>
      <w:r>
        <w:rPr>
          <w:rStyle w:val="3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eastAsia="zh-CN"/>
        </w:rPr>
        <w:t>重庆大德公益</w:t>
      </w:r>
      <w:r>
        <w:rPr>
          <w:rStyle w:val="3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基金会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</w:rPr>
      </w:pPr>
      <w:r>
        <w:rPr>
          <w:rStyle w:val="3"/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</w:rPr>
        <w:t>资产管理制度</w:t>
      </w: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第一章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总 则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为了规范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投资和资产处置行为，根据《中华人民共和国公益事业捐赠法》、《基金会管理条例》和《民间非营利组织会计制度》等法律、法规和规章及基金会章程制定本制度。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制度所称资产指投资资产和固定资产两类。投资资产是指本基金会用于短期投资或长期投资形成的资产，及其因此而形成的资产；固定资产是为行政管理、提供服务、生产商品或者出租目的而持有的，预计使用年限超过1年，单位价值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2000元以上的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有形资产。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本基金会资产管理的基本原则是：合法、谨慎、安全、有效。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本基金会按照《民间非营利组织会计制度》对资产进行会计核算和信息披露。</w:t>
      </w: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</w:pP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第二章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资产管理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基金会理事会对资产管理履行决策职责；办公室（或秘书处）对资产履行管理职责。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基金会理事会对资产管理履行以下决策职责：</w:t>
      </w: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（一）制定资产管理的具体规定；</w:t>
      </w: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（二）决定重大投资活动； </w:t>
      </w: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）检查、监督办公室（或秘书处）的投资管理和资产处置工作；</w:t>
      </w: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）其它有关资产管理的重大事项。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办公室（或秘书处）对理事会负责，对资产履行管理职责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第八条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理事遇有个人利益与本基金会资产利益关联时，不得参与相关事宜的决策；基金会理事、监事和及其近亲属不得与本基金会有任何资产交易行为。</w:t>
      </w: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</w:pP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第四章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管理责任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所有资产管理以及处置方案应报理事会备案。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第十条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本制度规定由理事会审批的事项，履行基金会章程规定的决策程序。</w:t>
      </w: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Style w:val="3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</w:pP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第五章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Style w:val="3"/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</w:rPr>
        <w:t>附 则</w:t>
      </w:r>
    </w:p>
    <w:p>
      <w:pPr>
        <w:snapToGrid w:val="0"/>
        <w:spacing w:line="360" w:lineRule="auto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本制度由基金会理事会制订，本制度的解释权和修改权属于理事会。 </w:t>
      </w:r>
    </w:p>
    <w:p>
      <w:pPr>
        <w:snapToGrid w:val="0"/>
        <w:spacing w:line="360" w:lineRule="auto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本制度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2017年07月10日表决通过，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通过之日起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施行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7E84"/>
    <w:rsid w:val="306D285E"/>
    <w:rsid w:val="6B007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2017-08-09T08:15:00Z</dcterms:created>
  <dc:creator>KDAdministrator</dc:creator>
  <cp:lastModifiedBy>KDAdministrator</cp:lastModifiedBy>
  <dcterms:modified xsi:type="dcterms:W3CDTF">2017-08-12T10:10:38Z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